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31 </w:t>
      </w:r>
      <w:r w:rsidRPr="00851CFD">
        <w:rPr>
          <w:rFonts w:hint="eastAsia"/>
          <w:b/>
        </w:rPr>
        <w:t>存档序号：</w:t>
      </w:r>
      <w:r w:rsidR="00851CFD" w:rsidRPr="00851CFD">
        <w:rPr>
          <w:rFonts w:hint="eastAsia"/>
          <w:b/>
        </w:rPr>
        <w:t xml:space="preserve">559</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曾  进</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8062</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高级工程师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副教授二级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每年应承担教学总时数一般不少于 64，其中承担本科生课
</w:t>
              <w:br/>
              <w:t xml:space="preserve">程学时数一般不少于 32</w:t>
            </w:r>
          </w:p>
        </w:tc>
        <w:tc>
          <w:tcPr>
            <w:tcW w:w="4060" w:type="dxa"/>
            <w:vAlign w:val="center"/>
          </w:tcPr>
          <w:p w:rsidR="005F7B8B" w:rsidRPr="00673F17" w:rsidRDefault="00851CFD" w:rsidP="00851CFD">
            <w:pPr>
              <w:jc w:val="left"/>
            </w:pPr>
            <w:r>
              <w:rPr>
                <w:rFonts w:hint="eastAsia"/>
              </w:rPr>
              <w:t xml:space="preserve">四年完成472学时，其中 本科完成344学时，超额完成指标。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发表B类论文3篇，同时负责综合交通运输大数据应用技术交通运输行业重点实验室的大数据系统与智能分析系统软硬件系统建设、系统运维和入侵检测系统定期升级，相关数据的存储管理与维护，提供有关大数据系统应用开发技术咨询，每天进行相关实验室日常安全检查与记录、参加每月学校实验室安全培训会议以及做好迎接有关部门对大数据实验室检查等工作。</w:t>
            </w:r>
          </w:p>
        </w:tc>
        <w:tc>
          <w:tcPr>
            <w:tcW w:w="4060" w:type="dxa"/>
            <w:vAlign w:val="center"/>
          </w:tcPr>
          <w:p w:rsidR="005F7B8B" w:rsidRPr="00673F17" w:rsidRDefault="00851CFD" w:rsidP="00851CFD">
            <w:pPr>
              <w:jc w:val="left"/>
            </w:pPr>
            <w:r>
              <w:rPr>
                <w:rFonts w:hint="eastAsia"/>
              </w:rPr>
              <w:t xml:space="preserve">共发表7篇论文，其中以第一作者在TRR期刊发表SCI 论文3篇，国内期刊1篇，交通领域顶级会议TRB会议论文2篇，在校教改论文集发表1篇研究生教改论文。完成指标。负责交通运输行业重点实验室中综合交通运输大数据应用技术领域的大数据系统与智能分析系统的构建（涵盖软硬件系统的建设、日常运维及入侵检测系统的定期更新）、数据管理（包括数据存储、维护及相关管理任务）、以及提供大数据系统应用开发方面的专业技术咨询服务。此外，还需每日执行实验室的安全巡查与记录工作，完成许多次由学校组织的实验室安全教育培训会议，完成实验室在迎接交通部、北京市及其它城市交通委员会等上级单位的视察工作的系统部署与软件展示及运维保障工作。同时，参与策划并执行两次交通科技周等组织活动。</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主持五类课题1项，且分摊经费80万元</w:t>
            </w:r>
          </w:p>
        </w:tc>
        <w:tc>
          <w:tcPr>
            <w:tcW w:w="4060" w:type="dxa"/>
            <w:vAlign w:val="center"/>
          </w:tcPr>
          <w:p w:rsidR="005F7B8B" w:rsidRPr="00673F17" w:rsidRDefault="00851CFD" w:rsidP="00851CFD">
            <w:pPr>
              <w:jc w:val="left"/>
            </w:pPr>
            <w:r>
              <w:rPr>
                <w:rFonts w:hint="eastAsia"/>
              </w:rPr>
              <w:t xml:space="preserve">主持新增五类课题3项，且分摊经费超过160万元，完成指标。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聘期内参加国际学术会议不少于 1 次</w:t>
            </w:r>
          </w:p>
        </w:tc>
        <w:tc>
          <w:tcPr>
            <w:tcW w:w="4060" w:type="dxa"/>
            <w:vAlign w:val="center"/>
          </w:tcPr>
          <w:p w:rsidR="005F7B8B" w:rsidRPr="00673F17" w:rsidRDefault="00851CFD" w:rsidP="00851CFD">
            <w:pPr>
              <w:jc w:val="left"/>
            </w:pPr>
            <w:r>
              <w:rPr>
                <w:rFonts w:hint="eastAsia"/>
              </w:rPr>
              <w:t xml:space="preserve">2021年参加线上TRB国际会议，并做线上墙报展示。完成指标。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指导本科毕业设计（论文）不少于 3 人</w:t>
            </w:r>
          </w:p>
        </w:tc>
        <w:tc>
          <w:tcPr>
            <w:tcW w:w="4060" w:type="dxa"/>
            <w:vAlign w:val="center"/>
          </w:tcPr>
          <w:p w:rsidR="005F7B8B" w:rsidRPr="00673F17" w:rsidRDefault="00851CFD" w:rsidP="00851CFD">
            <w:pPr>
              <w:jc w:val="left"/>
            </w:pPr>
            <w:r>
              <w:rPr>
                <w:rFonts w:hint="eastAsia"/>
              </w:rPr>
              <w:t xml:space="preserve">指导本科毕业设计6人</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以第一作者发表本领域公认的高水平 An5 类论文 5 篇，或聘期内发表的单篇论文在 Web of Science 或 CNKI 的 CSCD 和CSSCI 中的他引次数 8 次及以上</w:t>
            </w:r>
          </w:p>
        </w:tc>
        <w:tc>
          <w:tcPr>
            <w:tcW w:w="4060" w:type="dxa"/>
            <w:vAlign w:val="center"/>
          </w:tcPr>
          <w:p w:rsidR="005F7B8B" w:rsidRPr="00673F17" w:rsidRDefault="00851CFD" w:rsidP="00851CFD">
            <w:pPr>
              <w:jc w:val="left"/>
            </w:pPr>
            <w:r>
              <w:rPr>
                <w:rFonts w:hint="eastAsia"/>
              </w:rPr>
              <w:t xml:space="preserve">以第一作者发表学院鼓励期刊（Journal of the Transportation Research Board） Web of Science的 An4类论文 3篇，折算为A5类论文6篇。完成指标。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主要参与建设一门本科生或研究生课程；</w:t>
            </w:r>
          </w:p>
        </w:tc>
        <w:tc>
          <w:tcPr>
            <w:tcW w:w="4060" w:type="dxa"/>
            <w:vAlign w:val="center"/>
          </w:tcPr>
          <w:p w:rsidR="005F7B8B" w:rsidRPr="00673F17" w:rsidRDefault="00851CFD" w:rsidP="00851CFD">
            <w:pPr>
              <w:jc w:val="left"/>
            </w:pPr>
            <w:r>
              <w:rPr>
                <w:rFonts w:hint="eastAsia"/>
              </w:rPr>
              <w:t xml:space="preserve">做为课程组负责人建设两门本科生课程《大数据技术基础及应用A》、《大数据技术基础及应用B》，负责建设研究生课程组《大数据与Python》。</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本人聘期内达到了岗位履职要求。在教书育人与学科竞赛方面表现成绩比较突出，主要表现在四个方面，第一，在学科竞赛上获得二项嘉奖，2021年指导大学生获2021北京交通大学大学生电子商务“创新、创意及创业”挑战赛三等奖两项，获2022年度教学育人、学科建设、指导学生学科竞赛工作突出贡献奖。第二，主持了五项教改项目，电子商务专业《经济学》课程思政建设，《大数据与Python》课程建设，大数据技术基础及应用微课程建设，《大数据技术基础及应用》来华留学专项本科生课程建设，《大数据技术与应用》课程知识图谱构建与相关课程交叉关系研究，并且发表一篇研究生教改论文。做为两门本科生的课程组负责人：完成《大数据技术基础及应用A》与《大数据技术基础及应用B》课程建设，主要体现在负责建设了大数据实验教学平台支持课程实践教学。授课效果较好，其中《大数据技术基础及应用A》、《电子商务经济》网评成绩进入前30%，提升了课程的建设水平。2024年负责撰写新课《大数据技术与应用》的教学大纲。第三，在科研工作量方面，主持五类课题 4项，且分摊经费超过160万元，在学术论文方面，共发表论文6篇，第一作者发表6篇论文，其中SCI 中科院四区论文3篇，TRB会议论文2篇，国内期刊发表了1篇，完成了论文工作数量。 在国际合作方面， 2021年参加美国线上TRB国际会议，并做墙报展示演讲。第四，在社会服务工作服务，2021-2024年工作重点投入到学院大数据实验室的建设工作，并付出了巨大的时间和精力，完成了大数据实验室设备设施的建设工作和大数据相关应用软件系统的部署安装工作及日常运维安全保障工作，完成了两次交通科技周的组织活动，完成了多次迎接交通部、北京市、相关城市交通委、学校等各层面领导视察工作的软件系统展示与部署及运维安全保障工作，完成许多次“实验室安全检查活动与讲座学习工作”。同时积极参加校、院、系所、工会等组织的活动，获得北京交通大学2024年度教职工篮球赛“本队最佳球员”荣誉证书。聘期内总体工作完成还不错，在教书育人方面和大数据实验室建设方面投入精力较大，取得较好成绩，科研和论文以及国际交流方面都超过了任务完成数量，今后主要在科研与学术功底方面下些功夫，提高学术水平。</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